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AC9F" w14:textId="77777777" w:rsidR="009542C4" w:rsidRPr="007F730D" w:rsidRDefault="009542C4">
      <w:pPr>
        <w:rPr>
          <w:lang w:val="fr-CA"/>
        </w:rPr>
      </w:pPr>
    </w:p>
    <w:p w14:paraId="10E71346" w14:textId="77777777" w:rsidR="009542C4" w:rsidRPr="007F730D" w:rsidRDefault="009542C4">
      <w:pPr>
        <w:rPr>
          <w:lang w:val="fr-CA"/>
        </w:rPr>
      </w:pPr>
    </w:p>
    <w:p w14:paraId="0BDB3129" w14:textId="77777777" w:rsidR="009542C4" w:rsidRPr="007F730D" w:rsidRDefault="009542C4">
      <w:pPr>
        <w:rPr>
          <w:lang w:val="fr-CA"/>
        </w:rPr>
      </w:pPr>
    </w:p>
    <w:p w14:paraId="72F9A55E" w14:textId="0E698F8D" w:rsidR="00787742" w:rsidRPr="007F730D" w:rsidRDefault="00ED0FE4" w:rsidP="009A6251">
      <w:pPr>
        <w:pStyle w:val="Heading1"/>
        <w:rPr>
          <w:lang w:val="fr-CA"/>
        </w:rPr>
      </w:pPr>
      <w:r>
        <w:rPr>
          <w:lang w:val="fr-CA"/>
        </w:rPr>
        <w:pict w14:anchorId="5A506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4pt;width:168pt;height:54pt;z-index:251659264;mso-position-horizontal-relative:text;mso-position-vertical-relative:page;mso-width-relative:page;mso-height-relative:page">
            <v:imagedata r:id="rId8" o:title="1 AOHT COLOUR LOGO (WMF)"/>
            <w10:wrap anchory="page"/>
          </v:shape>
        </w:pict>
      </w:r>
      <w:r w:rsidR="00364301" w:rsidRPr="007F730D">
        <w:rPr>
          <w:lang w:val="fr-CA"/>
        </w:rPr>
        <w:t xml:space="preserve">Demande de candidatures </w:t>
      </w:r>
      <w:r w:rsidR="003D78A3">
        <w:rPr>
          <w:lang w:val="fr-CA"/>
        </w:rPr>
        <w:t xml:space="preserve">de </w:t>
      </w:r>
      <w:r w:rsidR="00364301" w:rsidRPr="007F730D">
        <w:rPr>
          <w:lang w:val="fr-CA"/>
        </w:rPr>
        <w:t>partenaires communautaires</w:t>
      </w:r>
      <w:r w:rsidR="003D78A3">
        <w:rPr>
          <w:lang w:val="fr-CA"/>
        </w:rPr>
        <w:t xml:space="preserve"> pour le groupe de travail du projet </w:t>
      </w:r>
      <w:r w:rsidR="00E84141" w:rsidRPr="007F730D">
        <w:rPr>
          <w:lang w:val="fr-CA"/>
        </w:rPr>
        <w:t>V</w:t>
      </w:r>
      <w:r w:rsidR="00364301" w:rsidRPr="007F730D">
        <w:rPr>
          <w:lang w:val="fr-CA"/>
        </w:rPr>
        <w:t>ieillir en santé</w:t>
      </w:r>
    </w:p>
    <w:p w14:paraId="6E49FF2E" w14:textId="77777777" w:rsidR="00787742" w:rsidRPr="007F730D" w:rsidRDefault="00787742" w:rsidP="009A6251">
      <w:pPr>
        <w:spacing w:after="0"/>
        <w:rPr>
          <w:lang w:val="fr-CA"/>
        </w:rPr>
      </w:pPr>
    </w:p>
    <w:p w14:paraId="27CF879E" w14:textId="130985A5" w:rsidR="009A6251" w:rsidRPr="007F730D" w:rsidRDefault="00C55117" w:rsidP="009A6251">
      <w:pPr>
        <w:rPr>
          <w:lang w:val="fr-CA"/>
        </w:rPr>
      </w:pPr>
      <w:r w:rsidRPr="007F730D">
        <w:rPr>
          <w:lang w:val="fr-CA"/>
        </w:rPr>
        <w:t xml:space="preserve">L’Équipe </w:t>
      </w:r>
      <w:r w:rsidR="003D78A3">
        <w:rPr>
          <w:lang w:val="fr-CA"/>
        </w:rPr>
        <w:t>S</w:t>
      </w:r>
      <w:r w:rsidRPr="007F730D">
        <w:rPr>
          <w:lang w:val="fr-CA"/>
        </w:rPr>
        <w:t xml:space="preserve">anté Algoma Ontario </w:t>
      </w:r>
      <w:r w:rsidR="009A6251" w:rsidRPr="007F730D">
        <w:rPr>
          <w:lang w:val="fr-CA"/>
        </w:rPr>
        <w:t>(</w:t>
      </w:r>
      <w:r w:rsidRPr="007F730D">
        <w:rPr>
          <w:lang w:val="fr-CA"/>
        </w:rPr>
        <w:t>ESAO</w:t>
      </w:r>
      <w:r w:rsidR="009A6251" w:rsidRPr="007F730D">
        <w:rPr>
          <w:lang w:val="fr-CA"/>
        </w:rPr>
        <w:t xml:space="preserve">) </w:t>
      </w:r>
      <w:r w:rsidRPr="007F730D">
        <w:rPr>
          <w:lang w:val="fr-CA"/>
        </w:rPr>
        <w:t>est une équipe composée de professionnels de la santé</w:t>
      </w:r>
      <w:r w:rsidR="000275B3">
        <w:rPr>
          <w:lang w:val="fr-CA"/>
        </w:rPr>
        <w:t>, de représentants d’organismes</w:t>
      </w:r>
      <w:r w:rsidRPr="007F730D">
        <w:rPr>
          <w:lang w:val="fr-CA"/>
        </w:rPr>
        <w:t xml:space="preserve"> et </w:t>
      </w:r>
      <w:r w:rsidR="003D78A3">
        <w:rPr>
          <w:lang w:val="fr-CA"/>
        </w:rPr>
        <w:t xml:space="preserve">de membres </w:t>
      </w:r>
      <w:r w:rsidRPr="007F730D">
        <w:rPr>
          <w:lang w:val="fr-CA"/>
        </w:rPr>
        <w:t>de la communauté qui collaborent en vue d’améliorer le système de soins de santé à Algoma.</w:t>
      </w:r>
      <w:r w:rsidR="00DF3128" w:rsidRPr="007F730D">
        <w:rPr>
          <w:lang w:val="fr-CA"/>
        </w:rPr>
        <w:t xml:space="preserve"> Nous voulons créer un réseau où les patients auront accès aux bons soins, à la bonne équipe et au bon milieu</w:t>
      </w:r>
      <w:r w:rsidR="003D78A3">
        <w:rPr>
          <w:lang w:val="fr-CA"/>
        </w:rPr>
        <w:t xml:space="preserve"> de soins</w:t>
      </w:r>
      <w:r w:rsidR="00DF3128" w:rsidRPr="007F730D">
        <w:rPr>
          <w:lang w:val="fr-CA"/>
        </w:rPr>
        <w:t xml:space="preserve"> lorsqu’ils en ont besoin</w:t>
      </w:r>
      <w:r w:rsidR="009A6251" w:rsidRPr="007F730D">
        <w:rPr>
          <w:lang w:val="fr-CA"/>
        </w:rPr>
        <w:t>.</w:t>
      </w:r>
    </w:p>
    <w:p w14:paraId="5F926E45" w14:textId="75168A78" w:rsidR="009A6251" w:rsidRPr="007F730D" w:rsidRDefault="00DF3128" w:rsidP="009A6251">
      <w:pPr>
        <w:rPr>
          <w:lang w:val="fr-CA"/>
        </w:rPr>
      </w:pPr>
      <w:r w:rsidRPr="007F730D">
        <w:rPr>
          <w:b/>
          <w:lang w:val="fr-CA"/>
        </w:rPr>
        <w:t>Dans le cadre de notre engagement envers l’établissement d’un partenariat constructif avec les membres de la communauté, nous sommes actuellement à la recherche de</w:t>
      </w:r>
      <w:r w:rsidR="009A6251" w:rsidRPr="007F730D">
        <w:rPr>
          <w:b/>
          <w:lang w:val="fr-CA"/>
        </w:rPr>
        <w:t xml:space="preserve"> </w:t>
      </w:r>
      <w:r w:rsidRPr="007F730D">
        <w:rPr>
          <w:b/>
          <w:u w:val="single"/>
          <w:lang w:val="fr-CA"/>
        </w:rPr>
        <w:t>deux</w:t>
      </w:r>
      <w:r w:rsidR="009A6251" w:rsidRPr="007F730D">
        <w:rPr>
          <w:b/>
          <w:lang w:val="fr-CA"/>
        </w:rPr>
        <w:t xml:space="preserve"> </w:t>
      </w:r>
      <w:r w:rsidRPr="007F730D">
        <w:rPr>
          <w:b/>
          <w:lang w:val="fr-CA"/>
        </w:rPr>
        <w:t xml:space="preserve">partenaires </w:t>
      </w:r>
      <w:r w:rsidR="00E84141" w:rsidRPr="007F730D">
        <w:rPr>
          <w:b/>
          <w:lang w:val="fr-CA"/>
        </w:rPr>
        <w:t>communautaires</w:t>
      </w:r>
      <w:r w:rsidRPr="007F730D">
        <w:rPr>
          <w:b/>
          <w:lang w:val="fr-CA"/>
        </w:rPr>
        <w:t xml:space="preserve"> bénévoles pour </w:t>
      </w:r>
      <w:r w:rsidR="00E84141" w:rsidRPr="007F730D">
        <w:rPr>
          <w:b/>
          <w:lang w:val="fr-CA"/>
        </w:rPr>
        <w:t>collaborer</w:t>
      </w:r>
      <w:r w:rsidRPr="007F730D">
        <w:rPr>
          <w:b/>
          <w:lang w:val="fr-CA"/>
        </w:rPr>
        <w:t xml:space="preserve"> au projet Vieillir en santé.</w:t>
      </w:r>
      <w:r w:rsidR="009A6251" w:rsidRPr="007F730D">
        <w:rPr>
          <w:lang w:val="fr-CA"/>
        </w:rPr>
        <w:t xml:space="preserve"> </w:t>
      </w:r>
      <w:r w:rsidRPr="007F730D">
        <w:rPr>
          <w:lang w:val="fr-CA"/>
        </w:rPr>
        <w:t xml:space="preserve">Les partenaires communautaires peuvent être des patients, des clients, des membres de la famille, des aidants naturels, des personnes ayant vécu une expérience </w:t>
      </w:r>
      <w:r w:rsidR="00E84141" w:rsidRPr="007F730D">
        <w:rPr>
          <w:lang w:val="fr-CA"/>
        </w:rPr>
        <w:t>ou</w:t>
      </w:r>
      <w:r w:rsidRPr="007F730D">
        <w:rPr>
          <w:lang w:val="fr-CA"/>
        </w:rPr>
        <w:t xml:space="preserve"> d’autres citoyens qui ont </w:t>
      </w:r>
      <w:r w:rsidR="00E84141" w:rsidRPr="007F730D">
        <w:rPr>
          <w:lang w:val="fr-CA"/>
        </w:rPr>
        <w:t xml:space="preserve">eu </w:t>
      </w:r>
      <w:r w:rsidRPr="007F730D">
        <w:rPr>
          <w:lang w:val="fr-CA"/>
        </w:rPr>
        <w:t>des interactions avec les services sociaux</w:t>
      </w:r>
      <w:r w:rsidR="00E84141" w:rsidRPr="007F730D">
        <w:rPr>
          <w:lang w:val="fr-CA"/>
        </w:rPr>
        <w:t xml:space="preserve"> et </w:t>
      </w:r>
      <w:r w:rsidR="003D78A3">
        <w:rPr>
          <w:lang w:val="fr-CA"/>
        </w:rPr>
        <w:t xml:space="preserve">les services </w:t>
      </w:r>
      <w:r w:rsidR="00E84141" w:rsidRPr="007F730D">
        <w:rPr>
          <w:lang w:val="fr-CA"/>
        </w:rPr>
        <w:t>de santé</w:t>
      </w:r>
      <w:r w:rsidRPr="007F730D">
        <w:rPr>
          <w:lang w:val="fr-CA"/>
        </w:rPr>
        <w:t xml:space="preserve">. Le groupe de travail </w:t>
      </w:r>
      <w:r w:rsidR="003D78A3">
        <w:rPr>
          <w:lang w:val="fr-CA"/>
        </w:rPr>
        <w:t xml:space="preserve">du projet </w:t>
      </w:r>
      <w:r w:rsidR="00E84141" w:rsidRPr="007F730D">
        <w:rPr>
          <w:lang w:val="fr-CA"/>
        </w:rPr>
        <w:t xml:space="preserve">Vieillir en santé </w:t>
      </w:r>
      <w:r w:rsidRPr="007F730D">
        <w:rPr>
          <w:lang w:val="fr-CA"/>
        </w:rPr>
        <w:t>de l’ESAO mène des projets visant à améliorer les soins prodigués aux personnes âgées d’Algoma.</w:t>
      </w:r>
      <w:r w:rsidR="009A6251" w:rsidRPr="007F730D">
        <w:rPr>
          <w:lang w:val="fr-CA"/>
        </w:rPr>
        <w:t xml:space="preserve"> </w:t>
      </w:r>
      <w:r w:rsidRPr="007F730D">
        <w:rPr>
          <w:lang w:val="fr-CA"/>
        </w:rPr>
        <w:t xml:space="preserve">Il se concentre actuellement sur les soins après une chute, l’identification de la fragilité </w:t>
      </w:r>
      <w:r w:rsidR="00E84141" w:rsidRPr="007F730D">
        <w:rPr>
          <w:lang w:val="fr-CA"/>
        </w:rPr>
        <w:t>chez les personnes âgées obten</w:t>
      </w:r>
      <w:r w:rsidR="003D78A3">
        <w:rPr>
          <w:lang w:val="fr-CA"/>
        </w:rPr>
        <w:t>ant</w:t>
      </w:r>
      <w:r w:rsidR="00E84141" w:rsidRPr="007F730D">
        <w:rPr>
          <w:lang w:val="fr-CA"/>
        </w:rPr>
        <w:t xml:space="preserve"> des</w:t>
      </w:r>
      <w:r w:rsidRPr="007F730D">
        <w:rPr>
          <w:lang w:val="fr-CA"/>
        </w:rPr>
        <w:t xml:space="preserve"> soins primaires et le rétablissement </w:t>
      </w:r>
      <w:r w:rsidR="003D78A3">
        <w:rPr>
          <w:lang w:val="fr-CA"/>
        </w:rPr>
        <w:t>après la</w:t>
      </w:r>
      <w:r w:rsidRPr="007F730D">
        <w:rPr>
          <w:lang w:val="fr-CA"/>
        </w:rPr>
        <w:t xml:space="preserve"> pandémie de </w:t>
      </w:r>
      <w:r w:rsidR="003D78A3">
        <w:rPr>
          <w:lang w:val="fr-CA"/>
        </w:rPr>
        <w:t xml:space="preserve">la </w:t>
      </w:r>
      <w:r w:rsidRPr="007F730D">
        <w:rPr>
          <w:lang w:val="fr-CA"/>
        </w:rPr>
        <w:t xml:space="preserve">COVID-19 pour les personnes âgées et les </w:t>
      </w:r>
      <w:r w:rsidR="00CB2705">
        <w:rPr>
          <w:lang w:val="fr-CA"/>
        </w:rPr>
        <w:t xml:space="preserve">proches </w:t>
      </w:r>
      <w:r w:rsidRPr="007F730D">
        <w:rPr>
          <w:lang w:val="fr-CA"/>
        </w:rPr>
        <w:t>aidants.</w:t>
      </w:r>
    </w:p>
    <w:p w14:paraId="0F9D3DE9" w14:textId="743FDB0F" w:rsidR="009A6251" w:rsidRPr="007F730D" w:rsidRDefault="00DF3128" w:rsidP="009A6251">
      <w:pPr>
        <w:spacing w:after="0"/>
        <w:rPr>
          <w:b/>
          <w:lang w:val="fr-CA"/>
        </w:rPr>
      </w:pPr>
      <w:r w:rsidRPr="007F730D">
        <w:rPr>
          <w:lang w:val="fr-CA"/>
        </w:rPr>
        <w:t xml:space="preserve">L’objectif principal de ce rôle </w:t>
      </w:r>
      <w:r w:rsidR="003D78A3">
        <w:rPr>
          <w:lang w:val="fr-CA"/>
        </w:rPr>
        <w:t xml:space="preserve">est de faire profiter </w:t>
      </w:r>
      <w:r w:rsidR="00E84141" w:rsidRPr="007F730D">
        <w:rPr>
          <w:lang w:val="fr-CA"/>
        </w:rPr>
        <w:t>le travail accompli par l’ESAO de</w:t>
      </w:r>
      <w:r w:rsidRPr="007F730D">
        <w:rPr>
          <w:lang w:val="fr-CA"/>
        </w:rPr>
        <w:t xml:space="preserve"> l’expertise de membres</w:t>
      </w:r>
      <w:r w:rsidR="00E84141" w:rsidRPr="007F730D">
        <w:rPr>
          <w:lang w:val="fr-CA"/>
        </w:rPr>
        <w:t xml:space="preserve"> de la</w:t>
      </w:r>
      <w:r w:rsidRPr="007F730D">
        <w:rPr>
          <w:lang w:val="fr-CA"/>
        </w:rPr>
        <w:t xml:space="preserve"> communauté qui reçoivent des services de santé.</w:t>
      </w:r>
      <w:r w:rsidR="009A6251" w:rsidRPr="007F730D">
        <w:rPr>
          <w:lang w:val="fr-CA"/>
        </w:rPr>
        <w:t xml:space="preserve"> </w:t>
      </w:r>
      <w:r w:rsidRPr="007F730D">
        <w:rPr>
          <w:lang w:val="fr-CA"/>
        </w:rPr>
        <w:t>Les partenaires communautaire</w:t>
      </w:r>
      <w:r w:rsidR="00E84141" w:rsidRPr="007F730D">
        <w:rPr>
          <w:lang w:val="fr-CA"/>
        </w:rPr>
        <w:t>s</w:t>
      </w:r>
      <w:r w:rsidRPr="007F730D">
        <w:rPr>
          <w:lang w:val="fr-CA"/>
        </w:rPr>
        <w:t xml:space="preserve"> qui siègent à des groupes de travail travailleront en étroite collaboration avec les responsables de la planification, les cliniciens et les autres membres du groupe de travail pour concevoir </w:t>
      </w:r>
      <w:r w:rsidR="00E84141" w:rsidRPr="007F730D">
        <w:rPr>
          <w:lang w:val="fr-CA"/>
        </w:rPr>
        <w:t>conjointement</w:t>
      </w:r>
      <w:r w:rsidRPr="007F730D">
        <w:rPr>
          <w:lang w:val="fr-CA"/>
        </w:rPr>
        <w:t xml:space="preserve"> des projets destinés à améliorer l’expérience des patients et les services de santé </w:t>
      </w:r>
      <w:r w:rsidR="00E84141" w:rsidRPr="007F730D">
        <w:rPr>
          <w:lang w:val="fr-CA"/>
        </w:rPr>
        <w:t>dans la région</w:t>
      </w:r>
      <w:r w:rsidRPr="007F730D">
        <w:rPr>
          <w:lang w:val="fr-CA"/>
        </w:rPr>
        <w:t>.</w:t>
      </w:r>
      <w:r w:rsidR="009A6251" w:rsidRPr="007F730D">
        <w:rPr>
          <w:lang w:val="fr-CA"/>
        </w:rPr>
        <w:t xml:space="preserve"> </w:t>
      </w:r>
      <w:r w:rsidRPr="007F730D">
        <w:rPr>
          <w:b/>
          <w:lang w:val="fr-CA"/>
        </w:rPr>
        <w:t>Veuillez noter que ces postes sont des</w:t>
      </w:r>
      <w:r w:rsidR="009A6251" w:rsidRPr="007F730D">
        <w:rPr>
          <w:b/>
          <w:lang w:val="fr-CA"/>
        </w:rPr>
        <w:t xml:space="preserve"> </w:t>
      </w:r>
      <w:r w:rsidRPr="007F730D">
        <w:rPr>
          <w:b/>
          <w:u w:val="single"/>
          <w:lang w:val="fr-CA"/>
        </w:rPr>
        <w:t>postes bénévoles</w:t>
      </w:r>
      <w:r w:rsidR="009A6251" w:rsidRPr="007F730D">
        <w:rPr>
          <w:b/>
          <w:lang w:val="fr-CA"/>
        </w:rPr>
        <w:t>.</w:t>
      </w:r>
    </w:p>
    <w:p w14:paraId="1E5CDC41" w14:textId="77777777" w:rsidR="009A6251" w:rsidRPr="007F730D" w:rsidRDefault="009A6251" w:rsidP="009A6251">
      <w:pPr>
        <w:spacing w:after="0"/>
        <w:rPr>
          <w:lang w:val="fr-CA"/>
        </w:rPr>
      </w:pPr>
    </w:p>
    <w:p w14:paraId="6B7A5D76" w14:textId="77777777" w:rsidR="009A6251" w:rsidRPr="007F730D" w:rsidRDefault="009A6251" w:rsidP="009A6251">
      <w:pPr>
        <w:pStyle w:val="Heading2"/>
        <w:rPr>
          <w:lang w:val="fr-CA"/>
        </w:rPr>
      </w:pPr>
      <w:r w:rsidRPr="007F730D">
        <w:rPr>
          <w:lang w:val="fr-CA"/>
        </w:rPr>
        <w:t>Qualifications</w:t>
      </w:r>
    </w:p>
    <w:p w14:paraId="50606C61" w14:textId="4EBE5167" w:rsidR="009A6251" w:rsidRPr="007F730D" w:rsidRDefault="00E7167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 xml:space="preserve">Adulte âgé de 65 ans ou plus OU </w:t>
      </w:r>
      <w:r w:rsidR="00CB2705">
        <w:rPr>
          <w:lang w:val="fr-CA"/>
        </w:rPr>
        <w:t xml:space="preserve">proche </w:t>
      </w:r>
      <w:r w:rsidRPr="007F730D">
        <w:rPr>
          <w:lang w:val="fr-CA"/>
        </w:rPr>
        <w:t>aidant actuel ou passé ou membre de la famille d’un adulte âgé de 65 ans ou plus</w:t>
      </w:r>
    </w:p>
    <w:p w14:paraId="1E2AB077" w14:textId="705F0207" w:rsidR="009A6251" w:rsidRPr="007F730D" w:rsidRDefault="00E7167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 xml:space="preserve">Expérience </w:t>
      </w:r>
      <w:r w:rsidR="00FB7D03" w:rsidRPr="007F730D">
        <w:rPr>
          <w:lang w:val="fr-CA"/>
        </w:rPr>
        <w:t>de</w:t>
      </w:r>
      <w:r w:rsidR="007F730D">
        <w:rPr>
          <w:lang w:val="fr-CA"/>
        </w:rPr>
        <w:t>s</w:t>
      </w:r>
      <w:r w:rsidR="00FB7D03" w:rsidRPr="007F730D">
        <w:rPr>
          <w:lang w:val="fr-CA"/>
        </w:rPr>
        <w:t xml:space="preserve"> services de santé ou sociaux</w:t>
      </w:r>
    </w:p>
    <w:p w14:paraId="66C075EF" w14:textId="4D8D30A8" w:rsidR="009A6251" w:rsidRPr="007F730D" w:rsidRDefault="00FB7D03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V</w:t>
      </w:r>
      <w:r w:rsidR="00E71678" w:rsidRPr="007F730D">
        <w:rPr>
          <w:lang w:val="fr-CA"/>
        </w:rPr>
        <w:t xml:space="preserve">olonté d’aider à améliorer les services de santé et </w:t>
      </w:r>
      <w:r w:rsidR="00CB2705">
        <w:rPr>
          <w:lang w:val="fr-CA"/>
        </w:rPr>
        <w:t xml:space="preserve">les services </w:t>
      </w:r>
      <w:r w:rsidR="00E71678" w:rsidRPr="007F730D">
        <w:rPr>
          <w:lang w:val="fr-CA"/>
        </w:rPr>
        <w:t>sociaux à Algoma</w:t>
      </w:r>
    </w:p>
    <w:p w14:paraId="00792E37" w14:textId="77777777" w:rsidR="009A6251" w:rsidRPr="007F730D" w:rsidRDefault="009A6251" w:rsidP="009A6251">
      <w:pPr>
        <w:pStyle w:val="ListParagraph"/>
        <w:spacing w:after="0"/>
        <w:ind w:left="1080"/>
        <w:rPr>
          <w:lang w:val="fr-CA"/>
        </w:rPr>
      </w:pPr>
    </w:p>
    <w:p w14:paraId="43EEA608" w14:textId="012FA32E" w:rsidR="009A6251" w:rsidRPr="007F730D" w:rsidRDefault="009A6251" w:rsidP="009A6251">
      <w:pPr>
        <w:pStyle w:val="Heading2"/>
        <w:rPr>
          <w:lang w:val="fr-CA"/>
        </w:rPr>
      </w:pPr>
      <w:r w:rsidRPr="007F730D">
        <w:rPr>
          <w:lang w:val="fr-CA"/>
        </w:rPr>
        <w:t>R</w:t>
      </w:r>
      <w:r w:rsidR="00E71678" w:rsidRPr="007F730D">
        <w:rPr>
          <w:lang w:val="fr-CA"/>
        </w:rPr>
        <w:t xml:space="preserve">ôles et responsabilités </w:t>
      </w:r>
      <w:r w:rsidRPr="007F730D">
        <w:rPr>
          <w:lang w:val="fr-CA"/>
        </w:rPr>
        <w:t>:</w:t>
      </w:r>
    </w:p>
    <w:p w14:paraId="356467A3" w14:textId="634E54FE" w:rsidR="009A6251" w:rsidRPr="007F730D" w:rsidRDefault="009A6251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Particip</w:t>
      </w:r>
      <w:r w:rsidR="00E71678" w:rsidRPr="007F730D">
        <w:rPr>
          <w:lang w:val="fr-CA"/>
        </w:rPr>
        <w:t xml:space="preserve">er en tant que membre actif au </w:t>
      </w:r>
      <w:r w:rsidR="003D78A3">
        <w:rPr>
          <w:lang w:val="fr-CA"/>
        </w:rPr>
        <w:t xml:space="preserve">groupe de travail du </w:t>
      </w:r>
      <w:r w:rsidR="00E71678" w:rsidRPr="007F730D">
        <w:rPr>
          <w:lang w:val="fr-CA"/>
        </w:rPr>
        <w:t xml:space="preserve">projet </w:t>
      </w:r>
      <w:r w:rsidR="00FB7D03" w:rsidRPr="007F730D">
        <w:rPr>
          <w:lang w:val="fr-CA"/>
        </w:rPr>
        <w:t xml:space="preserve">Vieillir en santé </w:t>
      </w:r>
      <w:r w:rsidR="00E71678" w:rsidRPr="007F730D">
        <w:rPr>
          <w:lang w:val="fr-CA"/>
        </w:rPr>
        <w:t>et assister régulièrement à des réunions</w:t>
      </w:r>
    </w:p>
    <w:p w14:paraId="67E89847" w14:textId="66D16D1E" w:rsidR="009A6251" w:rsidRPr="007F730D" w:rsidRDefault="00E7167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Partager votre histoire et votre point de vue</w:t>
      </w:r>
    </w:p>
    <w:p w14:paraId="6126C13F" w14:textId="14072451" w:rsidR="009A6251" w:rsidRPr="007F730D" w:rsidRDefault="00E7167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lastRenderedPageBreak/>
        <w:t xml:space="preserve">Faire valoir les besoins des patients, des familles et des </w:t>
      </w:r>
      <w:r w:rsidR="00CB2705">
        <w:rPr>
          <w:lang w:val="fr-CA"/>
        </w:rPr>
        <w:t xml:space="preserve">proches </w:t>
      </w:r>
      <w:r w:rsidRPr="007F730D">
        <w:rPr>
          <w:lang w:val="fr-CA"/>
        </w:rPr>
        <w:t>aidants dans une optique plus vaste</w:t>
      </w:r>
    </w:p>
    <w:p w14:paraId="26D0657B" w14:textId="56687783" w:rsidR="009A6251" w:rsidRPr="007F730D" w:rsidRDefault="00E7167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Participer à l’élaboration de nouveaux processus, programmes et services</w:t>
      </w:r>
    </w:p>
    <w:p w14:paraId="23D1E020" w14:textId="241200CB" w:rsidR="009A6251" w:rsidRPr="007F730D" w:rsidRDefault="00E7167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Écouter objectivement et reconnaître le point de vue des autres</w:t>
      </w:r>
    </w:p>
    <w:p w14:paraId="458FE731" w14:textId="4F1F8E2E" w:rsidR="009A6251" w:rsidRPr="007F730D" w:rsidRDefault="00E7167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Contribuer des idées et des suggestions qui amélioreront la participation de la communauté au processus de planification et de prise de décision</w:t>
      </w:r>
    </w:p>
    <w:p w14:paraId="3CA52C27" w14:textId="617002F6" w:rsidR="009A6251" w:rsidRPr="007F730D" w:rsidRDefault="00AA7FB5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Promouvoir l’amélioration de la collaboration et des relations établies entre les membres de la communauté et le personnel</w:t>
      </w:r>
    </w:p>
    <w:p w14:paraId="279B967B" w14:textId="77777777" w:rsidR="009A6251" w:rsidRPr="007F730D" w:rsidRDefault="009A6251" w:rsidP="009A6251">
      <w:pPr>
        <w:pStyle w:val="ListParagraph"/>
        <w:spacing w:after="0"/>
        <w:ind w:left="1080"/>
        <w:rPr>
          <w:lang w:val="fr-CA"/>
        </w:rPr>
      </w:pPr>
    </w:p>
    <w:p w14:paraId="16E8BD02" w14:textId="1E814AED" w:rsidR="009A6251" w:rsidRPr="007F730D" w:rsidRDefault="00AA7FB5" w:rsidP="009A6251">
      <w:pPr>
        <w:pStyle w:val="Heading2"/>
        <w:rPr>
          <w:lang w:val="fr-CA"/>
        </w:rPr>
      </w:pPr>
      <w:r w:rsidRPr="007F730D">
        <w:rPr>
          <w:lang w:val="fr-CA"/>
        </w:rPr>
        <w:t xml:space="preserve">Ce que l’on s’attend de la part des partenaires </w:t>
      </w:r>
      <w:r w:rsidR="009A6251" w:rsidRPr="007F730D">
        <w:rPr>
          <w:lang w:val="fr-CA"/>
        </w:rPr>
        <w:t>:</w:t>
      </w:r>
      <w:r w:rsidR="003D78A3">
        <w:rPr>
          <w:lang w:val="fr-CA"/>
        </w:rPr>
        <w:t xml:space="preserve"> ils doivent</w:t>
      </w:r>
    </w:p>
    <w:p w14:paraId="79A7C4C6" w14:textId="1F203DB0" w:rsidR="00787742" w:rsidRPr="007F730D" w:rsidRDefault="00AA7FB5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 xml:space="preserve">S’engager à participer aux activités du groupe de travail </w:t>
      </w:r>
      <w:r w:rsidR="00FB7D03" w:rsidRPr="007F730D">
        <w:rPr>
          <w:lang w:val="fr-CA"/>
        </w:rPr>
        <w:t>sur le projet Vieillir en santé</w:t>
      </w:r>
      <w:r w:rsidRPr="007F730D">
        <w:rPr>
          <w:lang w:val="fr-CA"/>
        </w:rPr>
        <w:t xml:space="preserve"> pendant une période d’un </w:t>
      </w:r>
      <w:r w:rsidR="003D78A3">
        <w:rPr>
          <w:lang w:val="fr-CA"/>
        </w:rPr>
        <w:t xml:space="preserve">(1) </w:t>
      </w:r>
      <w:r w:rsidRPr="007F730D">
        <w:rPr>
          <w:lang w:val="fr-CA"/>
        </w:rPr>
        <w:t>an (avec une possibilité de pro</w:t>
      </w:r>
      <w:r w:rsidR="00FB7D03" w:rsidRPr="007F730D">
        <w:rPr>
          <w:lang w:val="fr-CA"/>
        </w:rPr>
        <w:t>longation</w:t>
      </w:r>
      <w:r w:rsidRPr="007F730D">
        <w:rPr>
          <w:lang w:val="fr-CA"/>
        </w:rPr>
        <w:t>)</w:t>
      </w:r>
    </w:p>
    <w:p w14:paraId="3434D1F9" w14:textId="2F87DB46" w:rsidR="009A6251" w:rsidRPr="007F730D" w:rsidRDefault="00AA7FB5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 xml:space="preserve">Assister aux réunions tel que requis (virtuelles pour le moment); le groupe de travail sur le </w:t>
      </w:r>
      <w:r w:rsidR="00FB7D03" w:rsidRPr="007F730D">
        <w:rPr>
          <w:lang w:val="fr-CA"/>
        </w:rPr>
        <w:t>projet Vieillir en santé</w:t>
      </w:r>
      <w:r w:rsidRPr="007F730D">
        <w:rPr>
          <w:lang w:val="fr-CA"/>
        </w:rPr>
        <w:t xml:space="preserve"> se réuni</w:t>
      </w:r>
      <w:r w:rsidR="00FB7D03" w:rsidRPr="007F730D">
        <w:rPr>
          <w:lang w:val="fr-CA"/>
        </w:rPr>
        <w:t>t</w:t>
      </w:r>
      <w:r w:rsidRPr="007F730D">
        <w:rPr>
          <w:lang w:val="fr-CA"/>
        </w:rPr>
        <w:t xml:space="preserve"> actuellement toutes les deux semaines pendant 1 heure (un engagement de temps de 2 à 4 heures par mois)</w:t>
      </w:r>
    </w:p>
    <w:p w14:paraId="6968029D" w14:textId="48699161" w:rsidR="009A6251" w:rsidRPr="007F730D" w:rsidRDefault="00AA7FB5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Lire les documents relatifs à la réunion avant la tenue de</w:t>
      </w:r>
      <w:r w:rsidR="00FB7D03" w:rsidRPr="007F730D">
        <w:rPr>
          <w:lang w:val="fr-CA"/>
        </w:rPr>
        <w:t xml:space="preserve"> celle-ci</w:t>
      </w:r>
      <w:r w:rsidRPr="007F730D">
        <w:rPr>
          <w:lang w:val="fr-CA"/>
        </w:rPr>
        <w:t xml:space="preserve"> et être préparé</w:t>
      </w:r>
      <w:r w:rsidR="003D78A3">
        <w:rPr>
          <w:lang w:val="fr-CA"/>
        </w:rPr>
        <w:t>s</w:t>
      </w:r>
      <w:r w:rsidRPr="007F730D">
        <w:rPr>
          <w:lang w:val="fr-CA"/>
        </w:rPr>
        <w:t xml:space="preserve"> à apporter </w:t>
      </w:r>
      <w:r w:rsidR="003D78A3">
        <w:rPr>
          <w:lang w:val="fr-CA"/>
        </w:rPr>
        <w:t>leur</w:t>
      </w:r>
      <w:r w:rsidRPr="007F730D">
        <w:rPr>
          <w:lang w:val="fr-CA"/>
        </w:rPr>
        <w:t xml:space="preserve"> contribution et à discuter des points à l’ordre du jour</w:t>
      </w:r>
    </w:p>
    <w:p w14:paraId="563933F9" w14:textId="5D750082" w:rsidR="009A6251" w:rsidRPr="003D78A3" w:rsidRDefault="00AA7FB5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3D78A3">
        <w:rPr>
          <w:lang w:val="fr-CA"/>
        </w:rPr>
        <w:t>Respecter le processus de collaboration et comprendre qu</w:t>
      </w:r>
      <w:r w:rsidR="00FB7D03" w:rsidRPr="003D78A3">
        <w:rPr>
          <w:lang w:val="fr-CA"/>
        </w:rPr>
        <w:t>’il revient aux organismes partenaires de l’ESAO de prendre les décisions finales relatives à l’amélioration des soins et des</w:t>
      </w:r>
      <w:r w:rsidRPr="003D78A3">
        <w:rPr>
          <w:lang w:val="fr-CA"/>
        </w:rPr>
        <w:t xml:space="preserve"> processus</w:t>
      </w:r>
    </w:p>
    <w:p w14:paraId="6B8BC9B8" w14:textId="182C65EB" w:rsidR="009A6251" w:rsidRPr="007F730D" w:rsidRDefault="00AA7FB5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 xml:space="preserve">Préserver la confidentialité des renseignements confidentiels des patients et des documents </w:t>
      </w:r>
      <w:r w:rsidR="00FB7D03" w:rsidRPr="007F730D">
        <w:rPr>
          <w:lang w:val="fr-CA"/>
        </w:rPr>
        <w:t>de nature délicate</w:t>
      </w:r>
      <w:r w:rsidRPr="007F730D">
        <w:rPr>
          <w:lang w:val="fr-CA"/>
        </w:rPr>
        <w:t xml:space="preserve"> de l’organisme</w:t>
      </w:r>
    </w:p>
    <w:p w14:paraId="6CC6981E" w14:textId="77777777" w:rsidR="009A6251" w:rsidRPr="007F730D" w:rsidRDefault="009A6251" w:rsidP="009A6251">
      <w:pPr>
        <w:pStyle w:val="ListParagraph"/>
        <w:spacing w:after="0"/>
        <w:ind w:left="1080"/>
        <w:rPr>
          <w:lang w:val="fr-CA"/>
        </w:rPr>
      </w:pPr>
    </w:p>
    <w:p w14:paraId="19C6B5E8" w14:textId="70B37EA7" w:rsidR="009A6251" w:rsidRPr="007F730D" w:rsidRDefault="0068102C" w:rsidP="009A6251">
      <w:pPr>
        <w:pStyle w:val="Heading2"/>
        <w:rPr>
          <w:lang w:val="fr-CA"/>
        </w:rPr>
      </w:pPr>
      <w:r w:rsidRPr="007F730D">
        <w:rPr>
          <w:lang w:val="fr-CA"/>
        </w:rPr>
        <w:t>Notre engagement : Nous</w:t>
      </w:r>
    </w:p>
    <w:p w14:paraId="773D3442" w14:textId="02E12260" w:rsidR="009A6251" w:rsidRPr="007F730D" w:rsidRDefault="003D78A3" w:rsidP="009A6251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Vous e</w:t>
      </w:r>
      <w:r w:rsidR="009A6251" w:rsidRPr="007F730D">
        <w:rPr>
          <w:lang w:val="fr-CA"/>
        </w:rPr>
        <w:t>xpl</w:t>
      </w:r>
      <w:r w:rsidR="0068102C" w:rsidRPr="007F730D">
        <w:rPr>
          <w:lang w:val="fr-CA"/>
        </w:rPr>
        <w:t>iquerons les processus et la terminologie lorsque c’est nécessaire pour fournir des précisions et assurer une bonne compréhension</w:t>
      </w:r>
    </w:p>
    <w:p w14:paraId="020AC3E9" w14:textId="11F0626B" w:rsidR="009A6251" w:rsidRPr="007F730D" w:rsidRDefault="0068102C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Vous aiderons à utiliser le logiciel de réunions virtuelles</w:t>
      </w:r>
      <w:r w:rsidR="003D78A3">
        <w:rPr>
          <w:lang w:val="fr-CA"/>
        </w:rPr>
        <w:t>,</w:t>
      </w:r>
      <w:r w:rsidRPr="007F730D">
        <w:rPr>
          <w:lang w:val="fr-CA"/>
        </w:rPr>
        <w:t xml:space="preserve"> au besoin</w:t>
      </w:r>
    </w:p>
    <w:p w14:paraId="720A85E7" w14:textId="0804DE58" w:rsidR="009A6251" w:rsidRPr="007F730D" w:rsidRDefault="0068102C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Vous fournirons un milieu sécuritaire où vous pourrez contribuer et être respecté pour vos observations et vos suggestions</w:t>
      </w:r>
    </w:p>
    <w:p w14:paraId="18BFDAF8" w14:textId="256533A3" w:rsidR="009A6251" w:rsidRPr="007F730D" w:rsidRDefault="0068102C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Travaillerons avec vous pour répondre à toute question ou donner suite aux préoccupations liées à la participation</w:t>
      </w:r>
    </w:p>
    <w:p w14:paraId="134023CE" w14:textId="6593C35E" w:rsidR="009A6251" w:rsidRPr="007F730D" w:rsidRDefault="003D78A3" w:rsidP="009A6251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Vous f</w:t>
      </w:r>
      <w:r w:rsidR="0068102C" w:rsidRPr="007F730D">
        <w:rPr>
          <w:lang w:val="fr-CA"/>
        </w:rPr>
        <w:t>ournirons l’orientation et la formation initiales ainsi qu’une formation continue (au besoin), pour nous assurer que vous êtes bien équipé et vous aider à vous sentir à l’aise de participer activement</w:t>
      </w:r>
    </w:p>
    <w:p w14:paraId="1EAA42CC" w14:textId="77777777" w:rsidR="009A6251" w:rsidRPr="007F730D" w:rsidRDefault="009A6251" w:rsidP="009A6251">
      <w:pPr>
        <w:pStyle w:val="ListParagraph"/>
        <w:spacing w:after="0"/>
        <w:ind w:left="1080"/>
        <w:rPr>
          <w:lang w:val="fr-CA"/>
        </w:rPr>
      </w:pPr>
    </w:p>
    <w:p w14:paraId="04D13EFD" w14:textId="6A1E3FCD" w:rsidR="009A6251" w:rsidRPr="007F730D" w:rsidRDefault="009A6251" w:rsidP="009A6251">
      <w:pPr>
        <w:pStyle w:val="Heading2"/>
        <w:rPr>
          <w:lang w:val="fr-CA"/>
        </w:rPr>
      </w:pPr>
      <w:r w:rsidRPr="007F730D">
        <w:rPr>
          <w:lang w:val="fr-CA"/>
        </w:rPr>
        <w:t>C</w:t>
      </w:r>
      <w:r w:rsidR="0068102C" w:rsidRPr="007F730D">
        <w:rPr>
          <w:lang w:val="fr-CA"/>
        </w:rPr>
        <w:t>aractéristiques d’un bon partenaire</w:t>
      </w:r>
    </w:p>
    <w:p w14:paraId="6A6A3032" w14:textId="72A390D7" w:rsidR="009A6251" w:rsidRPr="007F730D" w:rsidRDefault="009A6251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Respe</w:t>
      </w:r>
      <w:r w:rsidR="0068102C" w:rsidRPr="007F730D">
        <w:rPr>
          <w:lang w:val="fr-CA"/>
        </w:rPr>
        <w:t xml:space="preserve">ctueux des autres et de </w:t>
      </w:r>
      <w:r w:rsidR="00FB7D03" w:rsidRPr="007F730D">
        <w:rPr>
          <w:lang w:val="fr-CA"/>
        </w:rPr>
        <w:t>leurs</w:t>
      </w:r>
      <w:r w:rsidR="0068102C" w:rsidRPr="007F730D">
        <w:rPr>
          <w:lang w:val="fr-CA"/>
        </w:rPr>
        <w:t xml:space="preserve"> points de vue</w:t>
      </w:r>
    </w:p>
    <w:p w14:paraId="06C7E887" w14:textId="4B126ADF" w:rsidR="009A6251" w:rsidRPr="007F730D" w:rsidRDefault="0068102C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 xml:space="preserve">Se sent à l’aise de parler en </w:t>
      </w:r>
      <w:r w:rsidR="00555118" w:rsidRPr="007F730D">
        <w:rPr>
          <w:lang w:val="fr-CA"/>
        </w:rPr>
        <w:t>situation de groupe et d’interagir avec les autres</w:t>
      </w:r>
    </w:p>
    <w:p w14:paraId="3E3027E8" w14:textId="512FD61A" w:rsidR="009A6251" w:rsidRPr="007F730D" w:rsidRDefault="0055511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Bonne capacité d’écoute</w:t>
      </w:r>
    </w:p>
    <w:p w14:paraId="5877D735" w14:textId="44B88D27" w:rsidR="009A6251" w:rsidRPr="007F730D" w:rsidRDefault="0055511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Aptitude à mettre à profit son expérience personnelle de manière constructive</w:t>
      </w:r>
    </w:p>
    <w:p w14:paraId="0887E3A0" w14:textId="3287BF27" w:rsidR="009A6251" w:rsidRPr="007F730D" w:rsidRDefault="0055511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Aptitude à voir au-delà de sa propre expérience</w:t>
      </w:r>
    </w:p>
    <w:p w14:paraId="60341CA8" w14:textId="47859050" w:rsidR="009A6251" w:rsidRPr="007F730D" w:rsidRDefault="0055511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Aptitude à avoir une vision d’ensemble</w:t>
      </w:r>
    </w:p>
    <w:p w14:paraId="4A3C4753" w14:textId="0F655C7D" w:rsidR="009A6251" w:rsidRPr="007F730D" w:rsidRDefault="00FB7D03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A</w:t>
      </w:r>
      <w:r w:rsidR="00555118" w:rsidRPr="007F730D">
        <w:rPr>
          <w:lang w:val="fr-CA"/>
        </w:rPr>
        <w:t>ttitude positive et libre de tout jugement</w:t>
      </w:r>
    </w:p>
    <w:p w14:paraId="05892362" w14:textId="75FF65F0" w:rsidR="009A6251" w:rsidRPr="007F730D" w:rsidRDefault="0055511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lastRenderedPageBreak/>
        <w:t>Capacité à travailler en collaboration avec d’autres partenaires et membres du personnel</w:t>
      </w:r>
    </w:p>
    <w:p w14:paraId="791F0D1D" w14:textId="7EDEA5B9" w:rsidR="009A6251" w:rsidRPr="007F730D" w:rsidRDefault="00FB7D03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V</w:t>
      </w:r>
      <w:r w:rsidR="00555118" w:rsidRPr="007F730D">
        <w:rPr>
          <w:lang w:val="fr-CA"/>
        </w:rPr>
        <w:t xml:space="preserve">olonté d’approfondir ses connaissances et de </w:t>
      </w:r>
      <w:r w:rsidR="003D78A3">
        <w:rPr>
          <w:lang w:val="fr-CA"/>
        </w:rPr>
        <w:t>perfectionner</w:t>
      </w:r>
      <w:r w:rsidR="00555118" w:rsidRPr="007F730D">
        <w:rPr>
          <w:lang w:val="fr-CA"/>
        </w:rPr>
        <w:t xml:space="preserve"> ses compétences</w:t>
      </w:r>
    </w:p>
    <w:p w14:paraId="3746F950" w14:textId="32DD5A94" w:rsidR="009A6251" w:rsidRPr="007F730D" w:rsidRDefault="00FB7D03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V</w:t>
      </w:r>
      <w:r w:rsidR="00555118" w:rsidRPr="007F730D">
        <w:rPr>
          <w:lang w:val="fr-CA"/>
        </w:rPr>
        <w:t>olonté de participer à la création d’un changement véritable</w:t>
      </w:r>
    </w:p>
    <w:p w14:paraId="38D73B91" w14:textId="0560F274" w:rsidR="009A6251" w:rsidRPr="007F730D" w:rsidRDefault="00555118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 xml:space="preserve">Capacité à assurer la confidentialité des renseignements </w:t>
      </w:r>
      <w:r w:rsidR="00FB7D03" w:rsidRPr="007F730D">
        <w:rPr>
          <w:lang w:val="fr-CA"/>
        </w:rPr>
        <w:t>confidentiels des</w:t>
      </w:r>
      <w:r w:rsidRPr="007F730D">
        <w:rPr>
          <w:lang w:val="fr-CA"/>
        </w:rPr>
        <w:t xml:space="preserve"> patients et </w:t>
      </w:r>
      <w:r w:rsidR="00FB7D03" w:rsidRPr="007F730D">
        <w:rPr>
          <w:lang w:val="fr-CA"/>
        </w:rPr>
        <w:t>de</w:t>
      </w:r>
      <w:r w:rsidRPr="007F730D">
        <w:rPr>
          <w:lang w:val="fr-CA"/>
        </w:rPr>
        <w:t xml:space="preserve"> l’organisme</w:t>
      </w:r>
    </w:p>
    <w:p w14:paraId="34150AC9" w14:textId="77777777" w:rsidR="009A6251" w:rsidRPr="007F730D" w:rsidRDefault="009A6251" w:rsidP="009A6251">
      <w:pPr>
        <w:pStyle w:val="ListParagraph"/>
        <w:spacing w:after="0"/>
        <w:ind w:left="1080"/>
        <w:rPr>
          <w:lang w:val="fr-CA"/>
        </w:rPr>
      </w:pPr>
    </w:p>
    <w:p w14:paraId="264B8415" w14:textId="426EE876" w:rsidR="009A6251" w:rsidRPr="007F730D" w:rsidRDefault="00555118" w:rsidP="009A6251">
      <w:pPr>
        <w:pStyle w:val="Heading2"/>
        <w:rPr>
          <w:lang w:val="fr-CA"/>
        </w:rPr>
      </w:pPr>
      <w:r w:rsidRPr="007F730D">
        <w:rPr>
          <w:lang w:val="fr-CA"/>
        </w:rPr>
        <w:t>Processus de présentation d’une demande de candidature</w:t>
      </w:r>
    </w:p>
    <w:p w14:paraId="3A16E2E9" w14:textId="479BCF30" w:rsidR="009A6251" w:rsidRPr="007F730D" w:rsidRDefault="00555118" w:rsidP="009A6251">
      <w:pPr>
        <w:rPr>
          <w:lang w:val="fr-CA"/>
        </w:rPr>
      </w:pPr>
      <w:r w:rsidRPr="007F730D">
        <w:rPr>
          <w:lang w:val="fr-CA"/>
        </w:rPr>
        <w:t>Les demandes de candidature remplies doivent avoir été reçu</w:t>
      </w:r>
      <w:r w:rsidR="00FB7D03" w:rsidRPr="007F730D">
        <w:rPr>
          <w:lang w:val="fr-CA"/>
        </w:rPr>
        <w:t>e</w:t>
      </w:r>
      <w:r w:rsidRPr="007F730D">
        <w:rPr>
          <w:lang w:val="fr-CA"/>
        </w:rPr>
        <w:t xml:space="preserve">s </w:t>
      </w:r>
      <w:r w:rsidRPr="00B149AC">
        <w:rPr>
          <w:lang w:val="fr-CA"/>
        </w:rPr>
        <w:t>le 19 janvier 2022</w:t>
      </w:r>
      <w:r w:rsidRPr="007F730D">
        <w:rPr>
          <w:lang w:val="fr-CA"/>
        </w:rPr>
        <w:t xml:space="preserve">. Vous pouvez présenter une demande de candidature de deux manières : </w:t>
      </w:r>
    </w:p>
    <w:p w14:paraId="1B0BD0D9" w14:textId="1D7C9E9E" w:rsidR="009A6251" w:rsidRPr="007F730D" w:rsidRDefault="00FB7D03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En remplissant</w:t>
      </w:r>
      <w:r w:rsidR="00555118" w:rsidRPr="007F730D">
        <w:rPr>
          <w:lang w:val="fr-CA"/>
        </w:rPr>
        <w:t xml:space="preserve"> un Formulaire de demande de candidature de partenaire communautaire et </w:t>
      </w:r>
      <w:r w:rsidR="0067229D" w:rsidRPr="007F730D">
        <w:rPr>
          <w:lang w:val="fr-CA"/>
        </w:rPr>
        <w:t>en l</w:t>
      </w:r>
      <w:r w:rsidR="003D78A3">
        <w:rPr>
          <w:lang w:val="fr-CA"/>
        </w:rPr>
        <w:t>e</w:t>
      </w:r>
      <w:r w:rsidR="0067229D" w:rsidRPr="007F730D">
        <w:rPr>
          <w:lang w:val="fr-CA"/>
        </w:rPr>
        <w:t xml:space="preserve"> transmettant par courriel à </w:t>
      </w:r>
      <w:r w:rsidR="009A6251" w:rsidRPr="007F730D">
        <w:rPr>
          <w:lang w:val="fr-CA"/>
        </w:rPr>
        <w:t>info@algomaoht.ca</w:t>
      </w:r>
    </w:p>
    <w:p w14:paraId="2F57E442" w14:textId="11248A6E" w:rsidR="009A6251" w:rsidRPr="007F730D" w:rsidRDefault="0067229D" w:rsidP="009A6251">
      <w:pPr>
        <w:pStyle w:val="ListParagraph"/>
        <w:numPr>
          <w:ilvl w:val="0"/>
          <w:numId w:val="2"/>
        </w:numPr>
        <w:rPr>
          <w:lang w:val="fr-CA"/>
        </w:rPr>
      </w:pPr>
      <w:r w:rsidRPr="007F730D">
        <w:rPr>
          <w:lang w:val="fr-CA"/>
        </w:rPr>
        <w:t>En soumettant</w:t>
      </w:r>
      <w:r w:rsidR="00555118" w:rsidRPr="007F730D">
        <w:rPr>
          <w:lang w:val="fr-CA"/>
        </w:rPr>
        <w:t xml:space="preserve"> </w:t>
      </w:r>
      <w:r w:rsidRPr="007F730D">
        <w:rPr>
          <w:lang w:val="fr-CA"/>
        </w:rPr>
        <w:t>votre</w:t>
      </w:r>
      <w:r w:rsidR="00555118" w:rsidRPr="007F730D">
        <w:rPr>
          <w:lang w:val="fr-CA"/>
        </w:rPr>
        <w:t xml:space="preserve"> demande de cand</w:t>
      </w:r>
      <w:bookmarkStart w:id="0" w:name="_GoBack"/>
      <w:bookmarkEnd w:id="0"/>
      <w:r w:rsidR="00555118" w:rsidRPr="007F730D">
        <w:rPr>
          <w:lang w:val="fr-CA"/>
        </w:rPr>
        <w:t>idature en ligne</w:t>
      </w:r>
    </w:p>
    <w:p w14:paraId="59DC8022" w14:textId="4B449231" w:rsidR="009A6251" w:rsidRPr="007F730D" w:rsidRDefault="00555118" w:rsidP="009A6251">
      <w:pPr>
        <w:rPr>
          <w:lang w:val="fr-CA"/>
        </w:rPr>
      </w:pPr>
      <w:r w:rsidRPr="007F730D">
        <w:rPr>
          <w:lang w:val="fr-CA"/>
        </w:rPr>
        <w:t xml:space="preserve">Après la date de clôture, nous communiquerons avec les candidats </w:t>
      </w:r>
      <w:r w:rsidR="0067229D" w:rsidRPr="007F730D">
        <w:rPr>
          <w:lang w:val="fr-CA"/>
        </w:rPr>
        <w:t>retenus pour une</w:t>
      </w:r>
      <w:r w:rsidRPr="007F730D">
        <w:rPr>
          <w:lang w:val="fr-CA"/>
        </w:rPr>
        <w:t xml:space="preserve"> entrevue.</w:t>
      </w:r>
      <w:r w:rsidR="009A6251" w:rsidRPr="007F730D">
        <w:rPr>
          <w:lang w:val="fr-CA"/>
        </w:rPr>
        <w:t xml:space="preserve"> </w:t>
      </w:r>
    </w:p>
    <w:p w14:paraId="7B2C6F1E" w14:textId="77F5D11D" w:rsidR="009A6251" w:rsidRPr="007F730D" w:rsidRDefault="00555118" w:rsidP="009A6251">
      <w:pPr>
        <w:rPr>
          <w:lang w:val="fr-CA"/>
        </w:rPr>
      </w:pPr>
      <w:r w:rsidRPr="007F730D">
        <w:rPr>
          <w:lang w:val="fr-CA"/>
        </w:rPr>
        <w:t xml:space="preserve">L’Équipe </w:t>
      </w:r>
      <w:r w:rsidR="003D78A3">
        <w:rPr>
          <w:lang w:val="fr-CA"/>
        </w:rPr>
        <w:t>S</w:t>
      </w:r>
      <w:r w:rsidRPr="007F730D">
        <w:rPr>
          <w:lang w:val="fr-CA"/>
        </w:rPr>
        <w:t xml:space="preserve">anté Algoma Ontario est déterminée à offrir des possibilités d’engagement accessibles et exemptes d’obstacles aux partenaires de tous les horizons. Veuillez faire parvenir vos demandes d’accommodements, vos questions et vos préoccupations à </w:t>
      </w:r>
      <w:hyperlink r:id="rId9" w:history="1">
        <w:r w:rsidR="009A6251" w:rsidRPr="007F730D">
          <w:rPr>
            <w:rStyle w:val="Hyperlink"/>
            <w:lang w:val="fr-CA"/>
          </w:rPr>
          <w:t>info@algomaoht.ca</w:t>
        </w:r>
      </w:hyperlink>
      <w:r w:rsidR="009A6251" w:rsidRPr="007F730D">
        <w:rPr>
          <w:lang w:val="fr-CA"/>
        </w:rPr>
        <w:t>.</w:t>
      </w:r>
    </w:p>
    <w:p w14:paraId="72AFB8C6" w14:textId="0F582A5C" w:rsidR="009A6251" w:rsidRPr="007F730D" w:rsidRDefault="00555118" w:rsidP="009A6251">
      <w:pPr>
        <w:rPr>
          <w:b/>
          <w:lang w:val="fr-CA"/>
        </w:rPr>
      </w:pPr>
      <w:r w:rsidRPr="007F730D">
        <w:rPr>
          <w:b/>
          <w:lang w:val="fr-CA"/>
        </w:rPr>
        <w:t>Pour en savoir plus sur l’ESAO :</w:t>
      </w:r>
      <w:r w:rsidR="009A6251" w:rsidRPr="007F730D">
        <w:rPr>
          <w:b/>
          <w:lang w:val="fr-CA"/>
        </w:rPr>
        <w:t xml:space="preserve"> </w:t>
      </w:r>
      <w:hyperlink r:id="rId10" w:history="1">
        <w:r w:rsidR="009A6251" w:rsidRPr="007F730D">
          <w:rPr>
            <w:rStyle w:val="Hyperlink"/>
            <w:b/>
            <w:lang w:val="fr-CA"/>
          </w:rPr>
          <w:t>www.algomaoht.ca</w:t>
        </w:r>
      </w:hyperlink>
      <w:r w:rsidR="009A6251" w:rsidRPr="007F730D">
        <w:rPr>
          <w:b/>
          <w:lang w:val="fr-CA"/>
        </w:rPr>
        <w:t>.</w:t>
      </w:r>
    </w:p>
    <w:sectPr w:rsidR="009A6251" w:rsidRPr="007F730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A7B3B" w14:textId="77777777" w:rsidR="00ED0FE4" w:rsidRDefault="00ED0FE4" w:rsidP="005C13E1">
      <w:pPr>
        <w:spacing w:after="0" w:line="240" w:lineRule="auto"/>
      </w:pPr>
      <w:r>
        <w:separator/>
      </w:r>
    </w:p>
  </w:endnote>
  <w:endnote w:type="continuationSeparator" w:id="0">
    <w:p w14:paraId="68882F19" w14:textId="77777777" w:rsidR="00ED0FE4" w:rsidRDefault="00ED0FE4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F7983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4E43B816" w14:textId="4624EB9C" w:rsidR="005C13E1" w:rsidRPr="00FB7D03" w:rsidRDefault="00ED0FE4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FB7D03" w:rsidRPr="00FB7D03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Boîte à outils de l’ESAO sur le </w:t>
      </w:r>
      <w:r w:rsidR="00FB7D03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partenariat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571D2C" wp14:editId="7407072F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CAB8CFC" wp14:editId="6C4C8393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608B0C" wp14:editId="68C333E2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FB7D03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FB7D03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B149AC">
          <w:rPr>
            <w:rFonts w:ascii="Franklin Gothic Book" w:hAnsi="Franklin Gothic Book"/>
            <w:noProof/>
            <w:lang w:val="fr-CA"/>
          </w:rPr>
          <w:t>3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B40DE" w14:textId="77777777" w:rsidR="00ED0FE4" w:rsidRDefault="00ED0FE4" w:rsidP="005C13E1">
      <w:pPr>
        <w:spacing w:after="0" w:line="240" w:lineRule="auto"/>
      </w:pPr>
      <w:r>
        <w:separator/>
      </w:r>
    </w:p>
  </w:footnote>
  <w:footnote w:type="continuationSeparator" w:id="0">
    <w:p w14:paraId="21FE339A" w14:textId="77777777" w:rsidR="00ED0FE4" w:rsidRDefault="00ED0FE4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EFEDE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3BE517B8" wp14:editId="5ECBB121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07997"/>
    <w:multiLevelType w:val="hybridMultilevel"/>
    <w:tmpl w:val="E5E04B86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E5B77"/>
    <w:multiLevelType w:val="hybridMultilevel"/>
    <w:tmpl w:val="41526F1E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B2EF6"/>
    <w:multiLevelType w:val="hybridMultilevel"/>
    <w:tmpl w:val="BCE8A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2706"/>
    <w:multiLevelType w:val="hybridMultilevel"/>
    <w:tmpl w:val="B4EE9684"/>
    <w:lvl w:ilvl="0" w:tplc="C1EE6E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lang w:val="fr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B383C"/>
    <w:multiLevelType w:val="hybridMultilevel"/>
    <w:tmpl w:val="166A64E0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E37C9"/>
    <w:multiLevelType w:val="hybridMultilevel"/>
    <w:tmpl w:val="984C287A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05B23"/>
    <w:multiLevelType w:val="hybridMultilevel"/>
    <w:tmpl w:val="448E757E"/>
    <w:lvl w:ilvl="0" w:tplc="1C74E6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1"/>
    <w:rsid w:val="000275B3"/>
    <w:rsid w:val="000342F7"/>
    <w:rsid w:val="000538C3"/>
    <w:rsid w:val="00081C01"/>
    <w:rsid w:val="00096A31"/>
    <w:rsid w:val="000B7B0F"/>
    <w:rsid w:val="002F7939"/>
    <w:rsid w:val="00313AEC"/>
    <w:rsid w:val="00364301"/>
    <w:rsid w:val="003D78A3"/>
    <w:rsid w:val="004123E8"/>
    <w:rsid w:val="005304DB"/>
    <w:rsid w:val="00555118"/>
    <w:rsid w:val="005579A5"/>
    <w:rsid w:val="005C13E1"/>
    <w:rsid w:val="00644CB8"/>
    <w:rsid w:val="0067229D"/>
    <w:rsid w:val="0068102C"/>
    <w:rsid w:val="00684860"/>
    <w:rsid w:val="00787742"/>
    <w:rsid w:val="00795420"/>
    <w:rsid w:val="007F730D"/>
    <w:rsid w:val="00815DED"/>
    <w:rsid w:val="008D1C5F"/>
    <w:rsid w:val="009542C4"/>
    <w:rsid w:val="009A6251"/>
    <w:rsid w:val="009D23DC"/>
    <w:rsid w:val="00A463B7"/>
    <w:rsid w:val="00A630C9"/>
    <w:rsid w:val="00AA7FB5"/>
    <w:rsid w:val="00B149AC"/>
    <w:rsid w:val="00C44A73"/>
    <w:rsid w:val="00C55117"/>
    <w:rsid w:val="00CB2705"/>
    <w:rsid w:val="00DF3128"/>
    <w:rsid w:val="00E52275"/>
    <w:rsid w:val="00E71678"/>
    <w:rsid w:val="00E84141"/>
    <w:rsid w:val="00E908BB"/>
    <w:rsid w:val="00ED0FE4"/>
    <w:rsid w:val="00F7132D"/>
    <w:rsid w:val="00F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97B7C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lgomaoht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gomaoht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F5D2-79FC-4C7B-97E1-6CE40A4E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OHT - Brianna Smith</cp:lastModifiedBy>
  <cp:revision>14</cp:revision>
  <cp:lastPrinted>2022-12-17T18:36:00Z</cp:lastPrinted>
  <dcterms:created xsi:type="dcterms:W3CDTF">2022-12-17T18:38:00Z</dcterms:created>
  <dcterms:modified xsi:type="dcterms:W3CDTF">2023-01-20T18:49:00Z</dcterms:modified>
</cp:coreProperties>
</file>